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C50858" w:rsidRPr="00C50858" w:rsidTr="00C50858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C50858" w:rsidRPr="00C50858" w:rsidRDefault="00C50858" w:rsidP="00C5085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858">
              <w:rPr>
                <w:rFonts w:ascii="Times New Roman" w:hAnsi="Times New Roman"/>
                <w:b/>
                <w:sz w:val="28"/>
                <w:szCs w:val="28"/>
              </w:rPr>
              <w:t>ЗВЕНИГОВО МУНИЦИПАЛ РАЙОН                                     АДМИНИСТРАЦИЙЫШТЕ</w:t>
            </w:r>
          </w:p>
          <w:p w:rsidR="00C50858" w:rsidRPr="00C50858" w:rsidRDefault="00C50858" w:rsidP="00C5085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858">
              <w:rPr>
                <w:rFonts w:ascii="Times New Roman" w:hAnsi="Times New Roman"/>
                <w:b/>
                <w:sz w:val="28"/>
                <w:szCs w:val="28"/>
              </w:rPr>
              <w:t>МАРИЙ ЭЛ</w:t>
            </w:r>
            <w:r w:rsidRPr="00C508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РЕСПУБЛИКЫН</w:t>
            </w:r>
          </w:p>
          <w:p w:rsidR="00C50858" w:rsidRPr="00C50858" w:rsidRDefault="00C50858" w:rsidP="00C5085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858">
              <w:rPr>
                <w:rFonts w:ascii="Times New Roman" w:hAnsi="Times New Roman"/>
                <w:b/>
                <w:sz w:val="28"/>
                <w:szCs w:val="28"/>
              </w:rPr>
              <w:t>ЗВЕНИГОВО ОЛАСЕ</w:t>
            </w:r>
          </w:p>
          <w:p w:rsidR="00C50858" w:rsidRPr="00C50858" w:rsidRDefault="00C50858" w:rsidP="00C5085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C50858" w:rsidRPr="00C50858" w:rsidRDefault="00C50858" w:rsidP="00C5085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C50858" w:rsidRPr="00C50858" w:rsidRDefault="00C50858" w:rsidP="00C50858">
            <w:pPr>
              <w:pStyle w:val="a5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C5085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ЗВЕНИГОВСКАЯ ГОРОДСКАЯ АДМИНИСТРАЦИЯ</w:t>
            </w:r>
          </w:p>
          <w:p w:rsidR="00C50858" w:rsidRPr="00C50858" w:rsidRDefault="00C50858" w:rsidP="00C50858">
            <w:pPr>
              <w:pStyle w:val="a5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C5085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ЗВЕНИГОВСКОГО МУНИЦИПАЛЬНОГО РАЙОНА</w:t>
            </w:r>
          </w:p>
          <w:p w:rsidR="00C50858" w:rsidRPr="00C50858" w:rsidRDefault="00C50858" w:rsidP="00C50858">
            <w:pPr>
              <w:pStyle w:val="a5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C5085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РЕСПУБЛИКИ МАРИЙ ЭЛ</w:t>
            </w:r>
          </w:p>
          <w:p w:rsidR="00C50858" w:rsidRPr="00C50858" w:rsidRDefault="00C50858" w:rsidP="00C5085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0858" w:rsidRPr="00C50858" w:rsidTr="00C50858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C50858" w:rsidRPr="00C50858" w:rsidRDefault="00C50858" w:rsidP="00C5085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85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C50858" w:rsidRPr="00C50858" w:rsidRDefault="00C50858" w:rsidP="00C5085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C50858" w:rsidRPr="00C50858" w:rsidRDefault="00C50858" w:rsidP="00C5085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858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C50858" w:rsidRPr="00C50858" w:rsidTr="00C50858">
        <w:trPr>
          <w:cantSplit/>
          <w:trHeight w:val="80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C50858" w:rsidRPr="00C50858" w:rsidRDefault="00C50858" w:rsidP="00C5085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50858" w:rsidRPr="00C50858" w:rsidRDefault="00A94357" w:rsidP="00C5085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50858" w:rsidRPr="00C5085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12 апреля </w:t>
      </w:r>
      <w:r w:rsidR="00C50858" w:rsidRPr="00C50858">
        <w:rPr>
          <w:rFonts w:ascii="Times New Roman" w:hAnsi="Times New Roman"/>
          <w:sz w:val="28"/>
          <w:szCs w:val="28"/>
        </w:rPr>
        <w:t xml:space="preserve">2022 года  № </w:t>
      </w:r>
      <w:r>
        <w:rPr>
          <w:rFonts w:ascii="Times New Roman" w:hAnsi="Times New Roman"/>
          <w:sz w:val="28"/>
          <w:szCs w:val="28"/>
        </w:rPr>
        <w:t>127</w:t>
      </w:r>
      <w:r w:rsidR="00C50858" w:rsidRPr="00C50858">
        <w:rPr>
          <w:rFonts w:ascii="Times New Roman" w:hAnsi="Times New Roman"/>
          <w:sz w:val="28"/>
          <w:szCs w:val="28"/>
        </w:rPr>
        <w:t xml:space="preserve">         </w:t>
      </w:r>
    </w:p>
    <w:p w:rsidR="00C50858" w:rsidRPr="00C50858" w:rsidRDefault="00C50858" w:rsidP="00C508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72BF2" w:rsidRPr="001556DF" w:rsidRDefault="00C50858" w:rsidP="00072B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50858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072BF2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072B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услуги </w:t>
      </w:r>
      <w:r w:rsidR="00072BF2"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072BF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072BF2"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072BF2" w:rsidRPr="00C50858" w:rsidRDefault="00072BF2" w:rsidP="00072B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Городского поселения Звенигово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Звенигвоского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муницпального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района Республики Марий Эл</w:t>
      </w:r>
    </w:p>
    <w:p w:rsidR="00C50858" w:rsidRPr="00C50858" w:rsidRDefault="00C50858" w:rsidP="00C50858">
      <w:pPr>
        <w:pStyle w:val="a5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50858" w:rsidRPr="00C50858" w:rsidRDefault="00C50858" w:rsidP="00C50858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50858">
        <w:rPr>
          <w:rFonts w:ascii="Times New Roman" w:hAnsi="Times New Roman"/>
          <w:sz w:val="28"/>
          <w:szCs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от 02 мая 2006 года № 59-ФЗ «О порядке рассмотрения обращений граждан Российской Федерации», Федеральным законом от 27.07.2010 № 210-ФЗ «Об организации предоставления государственных и муниципальных услуг», руководствуясь п. 6.1 Положения о Звениговской городской администрации, Звениговская</w:t>
      </w:r>
      <w:proofErr w:type="gramEnd"/>
      <w:r w:rsidRPr="00C50858">
        <w:rPr>
          <w:rFonts w:ascii="Times New Roman" w:hAnsi="Times New Roman"/>
          <w:sz w:val="28"/>
          <w:szCs w:val="28"/>
        </w:rPr>
        <w:t xml:space="preserve"> городская администрация </w:t>
      </w:r>
    </w:p>
    <w:p w:rsidR="00C50858" w:rsidRPr="00C50858" w:rsidRDefault="00C50858" w:rsidP="00C50858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0858" w:rsidRPr="00C50858" w:rsidRDefault="00C50858" w:rsidP="00C50858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C50858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Pr="00C50858">
        <w:rPr>
          <w:rFonts w:ascii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C50858" w:rsidRPr="00072BF2" w:rsidRDefault="00C50858" w:rsidP="00072B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72BF2">
        <w:rPr>
          <w:rFonts w:ascii="Times New Roman" w:hAnsi="Times New Roman"/>
          <w:sz w:val="28"/>
          <w:szCs w:val="28"/>
          <w:lang w:eastAsia="fa-IR" w:bidi="fa-IR"/>
        </w:rPr>
        <w:t xml:space="preserve">1. Утвердить </w:t>
      </w:r>
      <w:r w:rsidRPr="00072BF2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072BF2" w:rsidRPr="00072BF2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072BF2" w:rsidRPr="00072BF2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«</w:t>
      </w:r>
      <w:r w:rsidR="00072BF2" w:rsidRPr="00072BF2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072BF2" w:rsidRPr="00072BF2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»</w:t>
      </w:r>
      <w:r w:rsidR="00072BF2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072BF2" w:rsidRPr="00072B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Городского поселения Звенигово </w:t>
      </w:r>
      <w:proofErr w:type="spellStart"/>
      <w:r w:rsidR="00072BF2" w:rsidRPr="00072BF2">
        <w:rPr>
          <w:rFonts w:ascii="Times New Roman" w:hAnsi="Times New Roman"/>
          <w:bCs/>
          <w:color w:val="000000" w:themeColor="text1"/>
          <w:sz w:val="28"/>
          <w:szCs w:val="28"/>
        </w:rPr>
        <w:t>Звенигвоского</w:t>
      </w:r>
      <w:proofErr w:type="spellEnd"/>
      <w:r w:rsidR="00072BF2" w:rsidRPr="00072B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72BF2" w:rsidRPr="00072BF2">
        <w:rPr>
          <w:rFonts w:ascii="Times New Roman" w:hAnsi="Times New Roman"/>
          <w:bCs/>
          <w:color w:val="000000" w:themeColor="text1"/>
          <w:sz w:val="28"/>
          <w:szCs w:val="28"/>
        </w:rPr>
        <w:t>муницпального</w:t>
      </w:r>
      <w:proofErr w:type="spellEnd"/>
      <w:r w:rsidR="00072BF2" w:rsidRPr="00072B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района Республики Марий Эл</w:t>
      </w:r>
      <w:r w:rsidRPr="00072BF2">
        <w:rPr>
          <w:rFonts w:ascii="Times New Roman" w:hAnsi="Times New Roman"/>
          <w:bCs/>
          <w:sz w:val="28"/>
          <w:szCs w:val="28"/>
        </w:rPr>
        <w:t xml:space="preserve"> </w:t>
      </w:r>
      <w:r w:rsidRPr="00072BF2">
        <w:rPr>
          <w:rFonts w:ascii="Times New Roman" w:hAnsi="Times New Roman"/>
          <w:sz w:val="28"/>
          <w:szCs w:val="28"/>
          <w:lang w:eastAsia="fa-IR" w:bidi="fa-IR"/>
        </w:rPr>
        <w:t>согласно приложению.</w:t>
      </w:r>
    </w:p>
    <w:p w:rsidR="00C50858" w:rsidRDefault="00C50858" w:rsidP="00C508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50858">
        <w:rPr>
          <w:rFonts w:ascii="Times New Roman" w:hAnsi="Times New Roman"/>
          <w:kern w:val="2"/>
          <w:sz w:val="28"/>
          <w:szCs w:val="28"/>
          <w:lang w:eastAsia="ar-SA"/>
        </w:rPr>
        <w:t xml:space="preserve">2.Настоящее постановление вступает </w:t>
      </w:r>
      <w:r w:rsidRPr="00C50858">
        <w:rPr>
          <w:rFonts w:ascii="Times New Roman" w:hAnsi="Times New Roman"/>
          <w:sz w:val="28"/>
          <w:szCs w:val="28"/>
        </w:rPr>
        <w:t>в силу со дня его подписания</w:t>
      </w:r>
      <w:r w:rsidRPr="00C50858">
        <w:rPr>
          <w:rFonts w:ascii="Times New Roman" w:hAnsi="Times New Roman"/>
          <w:kern w:val="2"/>
          <w:sz w:val="28"/>
          <w:szCs w:val="28"/>
          <w:lang w:eastAsia="ar-SA"/>
        </w:rPr>
        <w:t xml:space="preserve"> и подлежит обнародованию и опубликованию</w:t>
      </w:r>
      <w:r w:rsidRPr="00C50858">
        <w:rPr>
          <w:rFonts w:ascii="Times New Roman" w:hAnsi="Times New Roman"/>
          <w:sz w:val="28"/>
          <w:szCs w:val="28"/>
        </w:rPr>
        <w:t xml:space="preserve"> в сети Интернет на официальном сайте по адресу </w:t>
      </w:r>
      <w:hyperlink r:id="rId8" w:history="1">
        <w:r w:rsidRPr="00C50858">
          <w:rPr>
            <w:rStyle w:val="af9"/>
            <w:rFonts w:ascii="Times New Roman" w:hAnsi="Times New Roman"/>
            <w:sz w:val="28"/>
            <w:szCs w:val="28"/>
            <w:lang w:val="en-US"/>
          </w:rPr>
          <w:t>http</w:t>
        </w:r>
        <w:r w:rsidRPr="00C50858">
          <w:rPr>
            <w:rStyle w:val="af9"/>
            <w:rFonts w:ascii="Times New Roman" w:hAnsi="Times New Roman"/>
            <w:sz w:val="28"/>
            <w:szCs w:val="28"/>
          </w:rPr>
          <w:t>://</w:t>
        </w:r>
        <w:proofErr w:type="spellStart"/>
        <w:r w:rsidRPr="00C50858">
          <w:rPr>
            <w:rStyle w:val="af9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Pr="00C50858">
          <w:rPr>
            <w:rStyle w:val="af9"/>
            <w:rFonts w:ascii="Times New Roman" w:hAnsi="Times New Roman"/>
            <w:sz w:val="28"/>
            <w:szCs w:val="28"/>
          </w:rPr>
          <w:t>.</w:t>
        </w:r>
        <w:proofErr w:type="spellStart"/>
        <w:r w:rsidRPr="00C50858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50858">
        <w:rPr>
          <w:rFonts w:ascii="Times New Roman" w:hAnsi="Times New Roman"/>
          <w:sz w:val="28"/>
          <w:szCs w:val="28"/>
        </w:rPr>
        <w:t xml:space="preserve"> . </w:t>
      </w:r>
    </w:p>
    <w:p w:rsidR="00A94357" w:rsidRPr="00C50858" w:rsidRDefault="00A94357" w:rsidP="00A94357">
      <w:pPr>
        <w:pStyle w:val="consplustitle0"/>
        <w:spacing w:before="0" w:beforeAutospacing="0" w:after="0" w:afterAutospacing="0"/>
        <w:ind w:firstLine="708"/>
        <w:jc w:val="both"/>
        <w:rPr>
          <w:kern w:val="1"/>
          <w:sz w:val="28"/>
          <w:szCs w:val="28"/>
          <w:lang w:eastAsia="ar-SA"/>
        </w:rPr>
      </w:pPr>
      <w:r w:rsidRPr="00A94357">
        <w:rPr>
          <w:sz w:val="28"/>
          <w:szCs w:val="28"/>
        </w:rPr>
        <w:t xml:space="preserve">3. Признать утратившим силу постановление администрации МО «Городское поселения Звенигово» от 03.07.2017 г. №301 «Об утверждении административного регламента по </w:t>
      </w:r>
      <w:r w:rsidRPr="00A94357">
        <w:rPr>
          <w:bCs/>
          <w:color w:val="000000"/>
          <w:sz w:val="28"/>
          <w:szCs w:val="28"/>
        </w:rPr>
        <w:t>предоставлению</w:t>
      </w:r>
      <w:r w:rsidRPr="00A94357">
        <w:rPr>
          <w:sz w:val="28"/>
          <w:szCs w:val="28"/>
        </w:rPr>
        <w:t xml:space="preserve"> муниципальной </w:t>
      </w:r>
      <w:r w:rsidRPr="00A94357">
        <w:rPr>
          <w:bCs/>
          <w:color w:val="000000"/>
          <w:sz w:val="28"/>
          <w:szCs w:val="28"/>
        </w:rPr>
        <w:t>услуги</w:t>
      </w:r>
      <w:r w:rsidRPr="00A94357">
        <w:rPr>
          <w:sz w:val="28"/>
          <w:szCs w:val="28"/>
        </w:rPr>
        <w:t xml:space="preserve"> «</w:t>
      </w:r>
      <w:r w:rsidRPr="00A94357">
        <w:rPr>
          <w:bCs/>
          <w:color w:val="000000"/>
          <w:sz w:val="28"/>
          <w:szCs w:val="28"/>
        </w:rPr>
        <w:t>Выдача разрешения</w:t>
      </w:r>
      <w:r w:rsidRPr="00A94357">
        <w:rPr>
          <w:bCs/>
          <w:sz w:val="28"/>
          <w:szCs w:val="28"/>
        </w:rPr>
        <w:t xml:space="preserve"> на строительство, реконструкцию объектов капитального строительства» </w:t>
      </w:r>
      <w:r>
        <w:rPr>
          <w:bCs/>
          <w:sz w:val="28"/>
          <w:szCs w:val="28"/>
        </w:rPr>
        <w:t>(в ред. от 25.03.2020 г. №148).</w:t>
      </w:r>
    </w:p>
    <w:p w:rsidR="00C50858" w:rsidRPr="00C50858" w:rsidRDefault="00A94357" w:rsidP="00C50858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0858" w:rsidRPr="00C50858">
        <w:rPr>
          <w:rFonts w:ascii="Times New Roman" w:hAnsi="Times New Roman"/>
          <w:sz w:val="28"/>
          <w:szCs w:val="28"/>
        </w:rPr>
        <w:t>.</w:t>
      </w:r>
      <w:proofErr w:type="gramStart"/>
      <w:r w:rsidR="00C50858" w:rsidRPr="00C508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0858" w:rsidRPr="00C5085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4357" w:rsidRDefault="00A94357" w:rsidP="00C508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0858" w:rsidRPr="00C50858" w:rsidRDefault="00C50858" w:rsidP="00C508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50858">
        <w:rPr>
          <w:rFonts w:ascii="Times New Roman" w:hAnsi="Times New Roman"/>
          <w:sz w:val="28"/>
          <w:szCs w:val="28"/>
        </w:rPr>
        <w:t xml:space="preserve">Глава </w:t>
      </w:r>
    </w:p>
    <w:p w:rsidR="00C50858" w:rsidRPr="00C50858" w:rsidRDefault="00C50858" w:rsidP="00C508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50858">
        <w:rPr>
          <w:rFonts w:ascii="Times New Roman" w:hAnsi="Times New Roman"/>
          <w:sz w:val="28"/>
          <w:szCs w:val="28"/>
        </w:rPr>
        <w:t xml:space="preserve">Звениговской городской администрации                                           </w:t>
      </w:r>
      <w:proofErr w:type="spellStart"/>
      <w:r w:rsidRPr="00C50858">
        <w:rPr>
          <w:rFonts w:ascii="Times New Roman" w:hAnsi="Times New Roman"/>
          <w:sz w:val="28"/>
          <w:szCs w:val="28"/>
        </w:rPr>
        <w:t>А.С.Кулалаев</w:t>
      </w:r>
      <w:proofErr w:type="spellEnd"/>
    </w:p>
    <w:p w:rsidR="00A94357" w:rsidRDefault="00A94357" w:rsidP="00C50858">
      <w:pPr>
        <w:rPr>
          <w:rFonts w:ascii="Times New Roman" w:hAnsi="Times New Roman"/>
          <w:sz w:val="20"/>
        </w:rPr>
      </w:pPr>
    </w:p>
    <w:p w:rsidR="00C50858" w:rsidRPr="00C50858" w:rsidRDefault="00A94357" w:rsidP="00C50858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</w:t>
      </w:r>
      <w:r w:rsidR="00C50858" w:rsidRPr="00C50858">
        <w:rPr>
          <w:rFonts w:ascii="Times New Roman" w:hAnsi="Times New Roman"/>
          <w:sz w:val="20"/>
        </w:rPr>
        <w:t>ринцева</w:t>
      </w:r>
      <w:proofErr w:type="spellEnd"/>
      <w:r w:rsidR="00C50858" w:rsidRPr="00C50858">
        <w:rPr>
          <w:rFonts w:ascii="Times New Roman" w:hAnsi="Times New Roman"/>
          <w:sz w:val="20"/>
        </w:rPr>
        <w:t xml:space="preserve"> А.В.</w:t>
      </w:r>
    </w:p>
    <w:p w:rsidR="00C50858" w:rsidRPr="00C50858" w:rsidRDefault="00C50858" w:rsidP="00C50858">
      <w:pPr>
        <w:pStyle w:val="a5"/>
        <w:jc w:val="right"/>
        <w:rPr>
          <w:rFonts w:ascii="Times New Roman" w:hAnsi="Times New Roman"/>
        </w:rPr>
      </w:pPr>
      <w:r w:rsidRPr="00C50858">
        <w:rPr>
          <w:rFonts w:ascii="Times New Roman" w:hAnsi="Times New Roman"/>
        </w:rPr>
        <w:lastRenderedPageBreak/>
        <w:t xml:space="preserve">Приложение </w:t>
      </w:r>
    </w:p>
    <w:p w:rsidR="00C50858" w:rsidRDefault="00C50858" w:rsidP="00C50858">
      <w:pPr>
        <w:pStyle w:val="a5"/>
        <w:jc w:val="right"/>
        <w:rPr>
          <w:rFonts w:ascii="Times New Roman" w:hAnsi="Times New Roman"/>
        </w:rPr>
      </w:pPr>
      <w:r w:rsidRPr="00C50858">
        <w:rPr>
          <w:rFonts w:ascii="Times New Roman" w:hAnsi="Times New Roman"/>
        </w:rPr>
        <w:t xml:space="preserve">к постановлению </w:t>
      </w:r>
    </w:p>
    <w:p w:rsidR="00C50858" w:rsidRDefault="00C50858" w:rsidP="00C50858">
      <w:pPr>
        <w:pStyle w:val="a5"/>
        <w:jc w:val="right"/>
        <w:rPr>
          <w:rFonts w:ascii="Times New Roman" w:hAnsi="Times New Roman"/>
        </w:rPr>
      </w:pPr>
      <w:r w:rsidRPr="00C50858">
        <w:rPr>
          <w:rFonts w:ascii="Times New Roman" w:hAnsi="Times New Roman"/>
        </w:rPr>
        <w:t>Звениговской городской администрации</w:t>
      </w:r>
    </w:p>
    <w:p w:rsidR="00C50858" w:rsidRPr="00C50858" w:rsidRDefault="00C50858" w:rsidP="00C50858">
      <w:pPr>
        <w:pStyle w:val="a5"/>
        <w:jc w:val="right"/>
        <w:rPr>
          <w:rFonts w:ascii="Times New Roman" w:hAnsi="Times New Roman"/>
        </w:rPr>
      </w:pPr>
      <w:r w:rsidRPr="00C50858">
        <w:rPr>
          <w:rFonts w:ascii="Times New Roman" w:hAnsi="Times New Roman"/>
        </w:rPr>
        <w:t xml:space="preserve"> от </w:t>
      </w:r>
      <w:r w:rsidR="00A94357">
        <w:rPr>
          <w:rFonts w:ascii="Times New Roman" w:hAnsi="Times New Roman"/>
        </w:rPr>
        <w:t>12.04.2022 г.</w:t>
      </w:r>
      <w:r w:rsidRPr="00C50858">
        <w:rPr>
          <w:rFonts w:ascii="Times New Roman" w:hAnsi="Times New Roman"/>
        </w:rPr>
        <w:t xml:space="preserve"> №</w:t>
      </w:r>
      <w:r w:rsidR="00A94357">
        <w:rPr>
          <w:rFonts w:ascii="Times New Roman" w:hAnsi="Times New Roman"/>
        </w:rPr>
        <w:t>127</w:t>
      </w:r>
    </w:p>
    <w:p w:rsidR="00C50858" w:rsidRPr="00C50858" w:rsidRDefault="00C50858" w:rsidP="00C50858">
      <w:pPr>
        <w:pStyle w:val="a5"/>
        <w:rPr>
          <w:rFonts w:ascii="Times New Roman" w:hAnsi="Times New Roman"/>
          <w:b/>
          <w:szCs w:val="28"/>
        </w:rPr>
      </w:pPr>
    </w:p>
    <w:p w:rsidR="008209E6" w:rsidRPr="001556DF" w:rsidRDefault="00072BF2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C5085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511437"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C50858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Городского поселения Звенигово </w:t>
      </w:r>
      <w:proofErr w:type="spellStart"/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Звенигвоского</w:t>
      </w:r>
      <w:proofErr w:type="spellEnd"/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муницпального</w:t>
      </w:r>
      <w:proofErr w:type="spellEnd"/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района Республики Марий Эл</w:t>
      </w:r>
    </w:p>
    <w:p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985"/>
      </w:tblGrid>
      <w:tr w:rsidR="001556DF" w:rsidRPr="001556DF" w:rsidTr="00E2083D">
        <w:tc>
          <w:tcPr>
            <w:tcW w:w="8926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="00C50858">
              <w:rPr>
                <w:bCs/>
                <w:color w:val="000000" w:themeColor="text1"/>
                <w:sz w:val="28"/>
                <w:szCs w:val="28"/>
              </w:rPr>
              <w:t>муниципальной услуги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AB10DA" w:rsidRPr="001556DF" w:rsidRDefault="00AB10DA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1556DF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1556DF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985" w:type="dxa"/>
          </w:tcPr>
          <w:p w:rsidR="00C708EF" w:rsidRPr="001556DF" w:rsidRDefault="00C708EF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:rsidR="00C708EF" w:rsidRPr="001556DF" w:rsidRDefault="00C708EF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в связи с необходимостью продления срока действия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:rsidR="005538B1" w:rsidRPr="001556DF" w:rsidRDefault="005538B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в разрешении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отказе во внесении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lastRenderedPageBreak/>
              <w:t>исправлений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7F09EB" w:rsidRPr="001556DF" w:rsidTr="00E2083D">
        <w:tc>
          <w:tcPr>
            <w:tcW w:w="8926" w:type="dxa"/>
          </w:tcPr>
          <w:p w:rsidR="007F09EB" w:rsidRPr="001556DF" w:rsidRDefault="00193F52" w:rsidP="0045665F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14. </w:t>
            </w:r>
            <w:r w:rsidR="007F09EB" w:rsidRPr="001556DF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C50858">
              <w:rPr>
                <w:iCs/>
                <w:color w:val="000000" w:themeColor="text1"/>
                <w:sz w:val="28"/>
                <w:szCs w:val="28"/>
              </w:rPr>
              <w:t>муниципальной услуги</w:t>
            </w:r>
          </w:p>
        </w:tc>
        <w:tc>
          <w:tcPr>
            <w:tcW w:w="985" w:type="dxa"/>
          </w:tcPr>
          <w:p w:rsidR="007F09EB" w:rsidRPr="001556DF" w:rsidRDefault="007F09E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4A29" w:rsidRPr="001556DF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C50858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соответствии с частями 4 - 6 статьи 51 Градостроительного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кодекса Российской Федерации на выдачу разрешений на строительство </w:t>
      </w:r>
      <w:proofErr w:type="spellStart"/>
      <w:r w:rsidR="00F71663">
        <w:rPr>
          <w:rFonts w:ascii="Times New Roman" w:hAnsi="Times New Roman"/>
          <w:bCs/>
          <w:color w:val="000000" w:themeColor="text1"/>
          <w:sz w:val="28"/>
          <w:szCs w:val="28"/>
        </w:rPr>
        <w:t>Звенигвоской</w:t>
      </w:r>
      <w:proofErr w:type="spellEnd"/>
      <w:r w:rsidR="00F716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городской администрации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далее - уполномоченный орган местного самоуправления)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C50858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C50858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мест</w:t>
      </w:r>
      <w:r w:rsidR="009317F1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</w:t>
      </w:r>
      <w:r w:rsidR="00072B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Звениговскую городскую администрацию</w:t>
      </w:r>
      <w:r w:rsidR="000D2AC8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1556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F7166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F716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71663">
        <w:rPr>
          <w:rFonts w:ascii="Times New Roman" w:hAnsi="Times New Roman"/>
          <w:color w:val="000000" w:themeColor="text1"/>
          <w:sz w:val="28"/>
          <w:szCs w:val="28"/>
        </w:rPr>
        <w:t>www.admzven.ru</w:t>
      </w:r>
      <w:proofErr w:type="spellEnd"/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справочной информации о работе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рассмотрения обращений граждан Российской Федерации» (далее – Федеральный закон № 59-ФЗ).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соответству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ющем структурном подразделении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государственной и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Государственная (муниципальная) услуга предоставляется Уполномоченным органом </w:t>
      </w:r>
      <w:r w:rsidRPr="001556DF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(указать наименование органа государственной власти, органа местного самоуправления субъекта </w:t>
      </w:r>
      <w:r w:rsidR="006940AE" w:rsidRPr="001556DF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Российской Федерации</w:t>
      </w:r>
      <w:r w:rsidRPr="001556DF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,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предоставляющего услугу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1573E0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  <w:r w:rsidRPr="001556DF">
        <w:rPr>
          <w:color w:val="000000" w:themeColor="text1"/>
        </w:rPr>
        <w:t xml:space="preserve"> 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E5663" w:rsidRPr="001556DF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 xml:space="preserve">Перечень нормативных правовых актов, регулирующих предоставление </w:t>
      </w:r>
      <w:r w:rsidR="00C50858">
        <w:rPr>
          <w:color w:val="000000" w:themeColor="text1"/>
        </w:rPr>
        <w:t>муниципальной услуги</w:t>
      </w:r>
      <w:r w:rsidR="00725246" w:rsidRPr="001556DF">
        <w:rPr>
          <w:color w:val="000000" w:themeColor="text1"/>
        </w:rPr>
        <w:t xml:space="preserve">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</w:t>
      </w:r>
      <w:r w:rsidR="00DE7305" w:rsidRPr="001556DF">
        <w:rPr>
          <w:bCs/>
          <w:color w:val="000000" w:themeColor="text1"/>
        </w:rPr>
        <w:lastRenderedPageBreak/>
        <w:t xml:space="preserve">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 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-"д"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766F43" w:rsidRPr="001556DF">
        <w:rPr>
          <w:bCs/>
          <w:color w:val="000000" w:themeColor="text1"/>
        </w:rPr>
        <w:t>региональный портал</w:t>
      </w:r>
      <w:r w:rsidRPr="001556DF">
        <w:rPr>
          <w:bCs/>
          <w:color w:val="000000" w:themeColor="text1"/>
        </w:rPr>
        <w:t>).</w:t>
      </w:r>
    </w:p>
    <w:p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 xml:space="preserve">"б"-"д"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="00CF1C64" w:rsidRPr="001556DF">
        <w:rPr>
          <w:color w:val="000000" w:themeColor="text1"/>
        </w:rPr>
        <w:lastRenderedPageBreak/>
        <w:t>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 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уполномоченный орган государственной власти, орган местного самоуправления, </w:t>
      </w:r>
      <w:r w:rsidR="00096ED1" w:rsidRPr="001556DF">
        <w:rPr>
          <w:bCs/>
          <w:color w:val="000000" w:themeColor="text1"/>
        </w:rPr>
        <w:t>организацию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государственной власти, орган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</w:t>
      </w:r>
      <w:r w:rsidR="0036464C" w:rsidRPr="001556DF">
        <w:rPr>
          <w:bCs/>
          <w:color w:val="000000" w:themeColor="text1"/>
        </w:rPr>
        <w:lastRenderedPageBreak/>
        <w:t xml:space="preserve">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 xml:space="preserve">и уполномоченным органом </w:t>
      </w:r>
      <w:r w:rsidR="009301D1" w:rsidRPr="001556DF">
        <w:rPr>
          <w:bCs/>
          <w:color w:val="000000" w:themeColor="text1"/>
        </w:rPr>
        <w:t>г</w:t>
      </w:r>
      <w:r w:rsidR="00371EBF" w:rsidRPr="001556DF">
        <w:rPr>
          <w:bCs/>
          <w:color w:val="000000" w:themeColor="text1"/>
        </w:rPr>
        <w:t>ос</w:t>
      </w:r>
      <w:r w:rsidR="009301D1" w:rsidRPr="001556DF">
        <w:rPr>
          <w:bCs/>
          <w:color w:val="000000" w:themeColor="text1"/>
        </w:rPr>
        <w:t xml:space="preserve">ударственной </w:t>
      </w:r>
      <w:r w:rsidR="0036464C" w:rsidRPr="001556DF">
        <w:rPr>
          <w:bCs/>
          <w:color w:val="000000" w:themeColor="text1"/>
        </w:rPr>
        <w:t>власти,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многофункциональных центрах, особенности предоставления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по экстерриториальному принципу и особенности предоставления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электронной форме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</w:t>
      </w:r>
      <w:r w:rsidR="00EA222E" w:rsidRPr="001556DF">
        <w:rPr>
          <w:bCs/>
          <w:color w:val="000000" w:themeColor="text1"/>
        </w:rPr>
        <w:lastRenderedPageBreak/>
        <w:t xml:space="preserve">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</w:t>
      </w:r>
      <w:r w:rsidRPr="001556DF">
        <w:rPr>
          <w:bCs/>
          <w:color w:val="000000" w:themeColor="text1"/>
        </w:rPr>
        <w:lastRenderedPageBreak/>
        <w:t>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ю было предоставлено </w:t>
      </w:r>
      <w:r w:rsidRPr="001556DF">
        <w:rPr>
          <w:bCs/>
          <w:color w:val="000000" w:themeColor="text1"/>
        </w:rPr>
        <w:lastRenderedPageBreak/>
        <w:t>такое разрешение в соответствии со статьей 40 Градостроительного кодекса Российской Федерации);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lastRenderedPageBreak/>
        <w:t xml:space="preserve">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C50858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 услуги</w:t>
      </w: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, в том числе в электронной форме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>Регистрация заявления о выдаче разрешения на строительство, заявления о внесении изменений, уведомления, представленных заявителем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получения.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5085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срок выдачи (направления) документов, являющихся результатом предоставления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 </w:t>
      </w:r>
      <w:r w:rsidR="00EA4633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Pr="001556DF">
        <w:rPr>
          <w:bCs/>
          <w:color w:val="000000" w:themeColor="text1"/>
        </w:rPr>
        <w:t>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</w:t>
      </w:r>
      <w:r w:rsidR="00EF5446" w:rsidRPr="001556DF">
        <w:rPr>
          <w:bCs/>
          <w:color w:val="000000" w:themeColor="text1"/>
        </w:rPr>
        <w:t xml:space="preserve"> </w:t>
      </w:r>
      <w:r w:rsidR="00A17487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="00EF54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lastRenderedPageBreak/>
        <w:t>Заявление о выдаче разрешения на строительство, заявление о внесении изменений, уведомление считается полученным уполномоченным органом государственной власти, органом местного самоуправления, организацией со дня его регистрации</w:t>
      </w:r>
      <w:r w:rsidR="00D21385" w:rsidRPr="001556DF">
        <w:rPr>
          <w:color w:val="000000" w:themeColor="text1"/>
        </w:rPr>
        <w:t>.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уведомления,</w:t>
      </w:r>
      <w:r w:rsidR="00251843" w:rsidRPr="001556DF">
        <w:rPr>
          <w:bCs/>
          <w:color w:val="000000" w:themeColor="text1"/>
        </w:rPr>
        <w:t xml:space="preserve"> или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251843" w:rsidRPr="001556DF">
        <w:rPr>
          <w:bCs/>
          <w:color w:val="000000" w:themeColor="text1"/>
        </w:rPr>
        <w:t>.</w:t>
      </w: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Описание результата предоставления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 xml:space="preserve">заявления либо </w:t>
      </w:r>
      <w:r w:rsidR="007709F8" w:rsidRPr="001556DF">
        <w:rPr>
          <w:color w:val="000000" w:themeColor="text1"/>
        </w:rPr>
        <w:lastRenderedPageBreak/>
        <w:t>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 xml:space="preserve">путем объединения земельных участков, в отношении которых или </w:t>
      </w:r>
      <w:r w:rsidR="003C204F" w:rsidRPr="001556DF">
        <w:rPr>
          <w:bCs/>
          <w:color w:val="000000" w:themeColor="text1"/>
        </w:rPr>
        <w:lastRenderedPageBreak/>
        <w:t>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</w:t>
      </w:r>
      <w:r w:rsidRPr="001556DF">
        <w:rPr>
          <w:bCs/>
          <w:color w:val="000000" w:themeColor="text1"/>
        </w:rPr>
        <w:lastRenderedPageBreak/>
        <w:t>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C50858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lastRenderedPageBreak/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орган государственной власти, орган местного самоуправления,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>орган государственной власти</w:t>
      </w:r>
      <w:r w:rsidR="00E03948" w:rsidRPr="001556DF">
        <w:rPr>
          <w:bCs/>
          <w:color w:val="000000" w:themeColor="text1"/>
        </w:rPr>
        <w:t xml:space="preserve">, </w:t>
      </w:r>
      <w:r w:rsidR="00977E3E" w:rsidRPr="001556DF">
        <w:rPr>
          <w:bCs/>
          <w:color w:val="000000" w:themeColor="text1"/>
        </w:rPr>
        <w:t xml:space="preserve">орган местного самоуправления, </w:t>
      </w:r>
      <w:r w:rsidR="00A95B9A" w:rsidRPr="001556DF">
        <w:rPr>
          <w:bCs/>
          <w:color w:val="000000" w:themeColor="text1"/>
        </w:rPr>
        <w:t>организацию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1556DF">
        <w:rPr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</w:p>
    <w:p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</w:t>
      </w:r>
      <w:r w:rsidR="00533D2A" w:rsidRPr="001556DF">
        <w:rPr>
          <w:bCs/>
          <w:color w:val="000000" w:themeColor="text1"/>
        </w:rPr>
        <w:lastRenderedPageBreak/>
        <w:t xml:space="preserve">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го</w:t>
      </w:r>
      <w:r w:rsidR="001E6402" w:rsidRPr="001556DF">
        <w:rPr>
          <w:color w:val="000000" w:themeColor="text1"/>
        </w:rPr>
        <w:t>с</w:t>
      </w:r>
      <w:r w:rsidR="00125C4D" w:rsidRPr="001556DF">
        <w:rPr>
          <w:color w:val="000000" w:themeColor="text1"/>
        </w:rPr>
        <w:t>ударственной власти,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C50858">
        <w:rPr>
          <w:b/>
          <w:bCs/>
          <w:color w:val="000000" w:themeColor="text1"/>
        </w:rPr>
        <w:t>муниципальной услуги</w:t>
      </w:r>
      <w:r w:rsidRPr="001556DF">
        <w:rPr>
          <w:b/>
          <w:bCs/>
          <w:color w:val="000000" w:themeColor="text1"/>
        </w:rPr>
        <w:t xml:space="preserve"> документах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государственной власти, </w:t>
      </w:r>
      <w:r w:rsidRPr="001556DF">
        <w:rPr>
          <w:bCs/>
          <w:color w:val="000000" w:themeColor="text1"/>
        </w:rPr>
        <w:lastRenderedPageBreak/>
        <w:t>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r w:rsidR="00B956C1" w:rsidRPr="001556DF">
        <w:rPr>
          <w:bCs/>
          <w:color w:val="000000" w:themeColor="text1"/>
        </w:rPr>
        <w:t xml:space="preserve">в уполномоченный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организацию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уполномоченный орган государственной власти, орган местного самоуправления, </w:t>
      </w:r>
      <w:r w:rsidR="0045352B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государственных и муниципальных услуг» (далее – Федеральный закон № 210-ФЗ).</w:t>
      </w:r>
    </w:p>
    <w:p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услуги установлен постановлением Правительства Российской Федерации от 31 марта 2012 г. № 272 «Об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, включая информацию о методике расчета размера такой платы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 при получении результата предоставления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C5085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 в электронной форме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</w:t>
      </w:r>
      <w:r w:rsidR="00C66735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венной власти, орган местного самоуправления, организация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органом местного самоуправления, организацией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3.8. Оценка качества предоставления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C5085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, а также принятием ими решений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C5085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</w:t>
      </w:r>
      <w:proofErr w:type="gramStart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C5085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(указать наименование субъекта </w:t>
      </w:r>
      <w:r w:rsidR="006940AE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Российской Федерации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в случае предоставления государственной услуги, государственной услуги с переданными полномочиями)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(указать наименование муниципального образования в случае предоставления муниципальной услуги);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C5085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(указать наименование субъекта </w:t>
      </w:r>
      <w:r w:rsidR="006940AE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Российской Федерации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 случае предоставления государственной услуги, государственной услуги с переданными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lastRenderedPageBreak/>
        <w:t>полномочиями)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(указать наименование муниципального образования в случае предоставления муниципальной услуги)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45665F" w:rsidRPr="001556DF" w:rsidRDefault="00C50858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>, в том числе со стороны граждан,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C50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334AF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CE6C97" w:rsidRPr="001556DF" w:rsidRDefault="00334AF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C5085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выполняемых многофункциональными центрами 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C5085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A94357">
          <w:headerReference w:type="even" r:id="rId13"/>
          <w:headerReference w:type="default" r:id="rId14"/>
          <w:footnotePr>
            <w:numRestart w:val="eachSect"/>
          </w:footnotePr>
          <w:pgSz w:w="11906" w:h="16838" w:code="9"/>
          <w:pgMar w:top="1134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реквизиты проекта планировки территории в случае выдачи разрешения на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:rsidTr="006A0225">
        <w:trPr>
          <w:trHeight w:val="60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связи с образованием земельных участков путем раздела, перераспределения земельных участков или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1556DF" w:rsidRPr="001556DF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 ____________ месяца (-ев).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1556DF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1556DF" w:rsidTr="00D82839">
        <w:tc>
          <w:tcPr>
            <w:tcW w:w="1985" w:type="dxa"/>
          </w:tcPr>
          <w:p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:rsidTr="00D82839">
        <w:trPr>
          <w:trHeight w:val="1457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:rsidTr="00D82839">
        <w:trPr>
          <w:trHeight w:val="132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:rsidTr="00D82839">
        <w:trPr>
          <w:trHeight w:val="156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:rsidTr="0057307F">
        <w:trPr>
          <w:trHeight w:val="1200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37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2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4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330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57307F">
        <w:trPr>
          <w:trHeight w:val="910"/>
        </w:trPr>
        <w:tc>
          <w:tcPr>
            <w:tcW w:w="1418" w:type="dxa"/>
          </w:tcPr>
          <w:p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1556DF" w:rsidTr="00B82701">
        <w:trPr>
          <w:trHeight w:val="871"/>
        </w:trPr>
        <w:tc>
          <w:tcPr>
            <w:tcW w:w="1276" w:type="dxa"/>
          </w:tcPr>
          <w:p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:rsidTr="00B82701">
        <w:trPr>
          <w:trHeight w:val="2477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894"/>
        </w:trPr>
        <w:tc>
          <w:tcPr>
            <w:tcW w:w="1276" w:type="dxa"/>
          </w:tcPr>
          <w:p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910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3177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971"/>
        </w:trPr>
        <w:tc>
          <w:tcPr>
            <w:tcW w:w="1276" w:type="dxa"/>
          </w:tcPr>
          <w:p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191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612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355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61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766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23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7A0FEF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</w:t>
      </w:r>
    </w:p>
    <w:p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C50858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A05F62"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C50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proofErr w:type="gramEnd"/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="00C50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50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 рабочих дня со дня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Уполномоченного органа, ответственное за предоставление </w:t>
            </w:r>
            <w:r w:rsidR="00C50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орган) /ГИС/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(сведений), необходимых для предоставления </w:t>
            </w:r>
            <w:r w:rsidR="00C50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</w:tr>
      <w:tr w:rsidR="001556DF" w:rsidRPr="001556DF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1556DF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="00C50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C50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556DF" w:rsidRPr="001556DF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и регистрация результата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556DF" w:rsidRPr="001556DF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</w:tr>
      <w:tr w:rsidR="001556DF" w:rsidRPr="001556DF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C508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C50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56" w:rsidRDefault="00B40956">
      <w:pPr>
        <w:spacing w:after="0" w:line="240" w:lineRule="auto"/>
      </w:pPr>
      <w:r>
        <w:separator/>
      </w:r>
    </w:p>
  </w:endnote>
  <w:endnote w:type="continuationSeparator" w:id="0">
    <w:p w:rsidR="00B40956" w:rsidRDefault="00B40956">
      <w:pPr>
        <w:spacing w:after="0" w:line="240" w:lineRule="auto"/>
      </w:pPr>
      <w:r>
        <w:continuationSeparator/>
      </w:r>
    </w:p>
  </w:endnote>
  <w:endnote w:type="continuationNotice" w:id="1">
    <w:p w:rsidR="00B40956" w:rsidRDefault="00B4095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56" w:rsidRDefault="00B40956">
      <w:pPr>
        <w:spacing w:after="0" w:line="240" w:lineRule="auto"/>
      </w:pPr>
      <w:r>
        <w:separator/>
      </w:r>
    </w:p>
  </w:footnote>
  <w:footnote w:type="continuationSeparator" w:id="0">
    <w:p w:rsidR="00B40956" w:rsidRDefault="00B40956">
      <w:pPr>
        <w:spacing w:after="0" w:line="240" w:lineRule="auto"/>
      </w:pPr>
      <w:r>
        <w:continuationSeparator/>
      </w:r>
    </w:p>
  </w:footnote>
  <w:footnote w:type="continuationNotice" w:id="1">
    <w:p w:rsidR="00B40956" w:rsidRDefault="00B4095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58" w:rsidRDefault="00C508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58" w:rsidRPr="007B2B77" w:rsidRDefault="00C50858">
    <w:pPr>
      <w:pStyle w:val="a6"/>
      <w:jc w:val="center"/>
      <w:rPr>
        <w:rFonts w:ascii="Times New Roman" w:hAnsi="Times New Roman"/>
        <w:sz w:val="24"/>
      </w:rPr>
    </w:pPr>
  </w:p>
  <w:p w:rsidR="00C50858" w:rsidRDefault="00C5085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BF2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4CF8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9F7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4AF6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97504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1F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357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956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0858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431B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34FC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66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50858"/>
    <w:pPr>
      <w:keepNext/>
      <w:suppressAutoHyphens/>
      <w:spacing w:after="0" w:line="240" w:lineRule="auto"/>
      <w:jc w:val="center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character" w:customStyle="1" w:styleId="112">
    <w:name w:val="Заголовок 1 Знак1"/>
    <w:basedOn w:val="a0"/>
    <w:link w:val="1"/>
    <w:uiPriority w:val="9"/>
    <w:rsid w:val="00C50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2">
    <w:name w:val="Body Text"/>
    <w:basedOn w:val="a"/>
    <w:link w:val="aff3"/>
    <w:rsid w:val="00C5085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ff3">
    <w:name w:val="Основной текст Знак"/>
    <w:basedOn w:val="a0"/>
    <w:link w:val="aff2"/>
    <w:rsid w:val="00C50858"/>
    <w:rPr>
      <w:rFonts w:ascii="Times New Roman" w:eastAsia="Times New Roman" w:hAnsi="Times New Roman"/>
      <w:b/>
      <w:bCs/>
      <w:sz w:val="28"/>
      <w:lang w:eastAsia="ar-SA"/>
    </w:rPr>
  </w:style>
  <w:style w:type="paragraph" w:customStyle="1" w:styleId="consplustitle0">
    <w:name w:val="consplustitle"/>
    <w:basedOn w:val="a"/>
    <w:rsid w:val="00A943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AD4B-E043-41A6-868A-45A2DCB8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25827</Words>
  <Characters>147220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User</cp:lastModifiedBy>
  <cp:revision>2</cp:revision>
  <cp:lastPrinted>2020-09-18T17:08:00Z</cp:lastPrinted>
  <dcterms:created xsi:type="dcterms:W3CDTF">2022-04-19T05:50:00Z</dcterms:created>
  <dcterms:modified xsi:type="dcterms:W3CDTF">2022-04-19T05:50:00Z</dcterms:modified>
</cp:coreProperties>
</file>